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Fitch mejora la perspectiva de la calificación de CAF</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solidez y estabilidad financiera del organismo multilateral que destaca la calificadora de riesgo permitió que elevará su perspectiva a estable. Fitch resaltó el aporte de la institución a los países de América Latina para enfrentar la pandemia del Covid-19, la incorporación de México como miembro pleno, el compromiso de sus accionistas y la diversificación de su portafolio, entre otros.</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19 de enero de 2021). </w:t>
      </w:r>
      <w:r w:rsidDel="00000000" w:rsidR="00000000" w:rsidRPr="00000000">
        <w:rPr>
          <w:rFonts w:ascii="Arial Narrow" w:cs="Arial Narrow" w:eastAsia="Arial Narrow" w:hAnsi="Arial Narrow"/>
          <w:color w:val="222222"/>
          <w:rtl w:val="0"/>
        </w:rPr>
        <w:t xml:space="preserve">El compromiso de CAF –banco de desarrollo de América Latina- para apoyar a los países de la región con recursos y asistencia técnica de manera ágil y oportuna, fue destacado por la agencia calificadora de riesgo Fitch Rating al mejorar la perspectiva de la calificación crediticia a estable, ratificando la calificación de largo plazo de A+ y la de corto plazo de F1+. Entre los factores que resaltó la calificadora de riesgo están los altos indicadores de capitalización y liquidez, así como la calidad y el rendimiento de sus activos.</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su revisión, la calificadora destacó: “El banco ha respondido a la pandemia de coronavirus reasignando y aumentando sus préstamos aprobados para 2020 a un nivel récord de USD 14 mil millones (en comparación con USD 13 mil millones en 2019). Una parte importante de estos préstamos se ha destinado a ayudar a los países a hacer frente al efecto de la pandemia en la economía y los sistemas de salud”.</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presidente ejecutivo de CAF, Luis Carranza Ugarte, resaltó esta buena noticia para la región: "La mejora de la perspectiva de Fitch es un respaldo a la gestión de CAF que reconoce el constante fortalecimiento de su estructura financiera, gracias al continuo apoyo de sus países accionistas a través de sus aportes de capital. El aporte de México como miembro pleno también fue destacado por la calificadora de riesgo. Esto nos permitirá seguir cumpliendo nuestro rol catalítico de conseguir recursos competitivos hacia América Latina en momentos en los que más se necesitan".</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lleva a cabo, desde hace más de dos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A">
      <w:pPr>
        <w:shd w:fill="ffffff" w:val="clear"/>
        <w:spacing w:line="240" w:lineRule="auto"/>
        <w:jc w:val="center"/>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7">
      <w:pPr>
        <w:shd w:fill="ffffff" w:val="clear"/>
        <w:spacing w:line="240" w:lineRule="auto"/>
        <w:ind w:lef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 . . . . . . . . . . . . . . . . . . . . . . . . . . . . . . . . . . . . . . . . . . . . . . . . . . . . . . . . . . . . . . . . . . . . . . . . . . . . . . . . . . . . . . . . </w:t>
      </w:r>
    </w:p>
    <w:p w:rsidR="00000000" w:rsidDel="00000000" w:rsidP="00000000" w:rsidRDefault="00000000" w:rsidRPr="00000000" w14:paraId="00000018">
      <w:pPr>
        <w:shd w:fill="ffffff" w:val="clear"/>
        <w:spacing w:line="240" w:lineRule="auto"/>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222222"/>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www.caf.com</w:t>
      </w:r>
    </w:p>
    <w:p w:rsidR="00000000" w:rsidDel="00000000" w:rsidP="00000000" w:rsidRDefault="00000000" w:rsidRPr="00000000" w14:paraId="00000019">
      <w:pPr>
        <w:shd w:fill="ffffff" w:val="clear"/>
        <w:spacing w:line="240" w:lineRule="auto"/>
        <w:jc w:val="both"/>
        <w:rPr>
          <w:rFonts w:ascii="Arial Narrow" w:cs="Arial Narrow" w:eastAsia="Arial Narrow" w:hAnsi="Arial Narrow"/>
          <w:color w:val="222222"/>
          <w:sz w:val="18"/>
          <w:szCs w:val="18"/>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222222"/>
          <w:sz w:val="18"/>
          <w:szCs w:val="18"/>
          <w:rtl w:val="0"/>
        </w:rPr>
        <w:t xml:space="preserve">CAF,  Dirección de Comunicación Estratégica, infocaf@caf.com</w:t>
      </w:r>
    </w:p>
    <w:p w:rsidR="00000000" w:rsidDel="00000000" w:rsidP="00000000" w:rsidRDefault="00000000" w:rsidRPr="00000000" w14:paraId="0000001B">
      <w:pPr>
        <w:shd w:fill="ffffff" w:val="clear"/>
        <w:spacing w:line="240" w:lineRule="auto"/>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222222"/>
          <w:sz w:val="18"/>
          <w:szCs w:val="18"/>
          <w:rtl w:val="0"/>
        </w:rPr>
        <w:t xml:space="preserve">Encuéntrenos en: Facebook: CAF.America.Latina / Twitter: @AgendaCAF</w:t>
      </w:r>
    </w:p>
    <w:p w:rsidR="00000000" w:rsidDel="00000000" w:rsidP="00000000" w:rsidRDefault="00000000" w:rsidRPr="00000000" w14:paraId="0000001C">
      <w:pPr>
        <w:shd w:fill="ffffff" w:val="clear"/>
        <w:spacing w:line="240" w:lineRule="auto"/>
        <w:jc w:val="both"/>
        <w:rPr>
          <w:rFonts w:ascii="Arial Narrow" w:cs="Arial Narrow" w:eastAsia="Arial Narrow" w:hAnsi="Arial Narrow"/>
          <w:color w:val="222222"/>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1813088</wp:posOffset>
          </wp:positionH>
          <wp:positionV relativeFrom="paragraph">
            <wp:posOffset>-266699</wp:posOffset>
          </wp:positionV>
          <wp:extent cx="2105025" cy="657225"/>
          <wp:effectExtent b="0" l="0" r="0" t="0"/>
          <wp:wrapTopAndBottom distB="0" distT="0"/>
          <wp:docPr descr="Logo_CAF50_Aniversario" id="1"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